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3A0D53">
      <w:pPr>
        <w:jc w:val="center"/>
        <w:rPr>
          <w:rFonts w:asciiTheme="minorHAnsi" w:hAnsiTheme="minorHAnsi" w:eastAsiaTheme="minorEastAsia" w:cstheme="minorBidi"/>
          <w:b/>
          <w:bCs/>
          <w:sz w:val="30"/>
          <w:szCs w:val="30"/>
        </w:rPr>
      </w:pPr>
      <w:r>
        <w:rPr>
          <w:rFonts w:hint="eastAsia" w:asciiTheme="minorHAnsi" w:hAnsiTheme="minorHAnsi" w:eastAsiaTheme="minorEastAsia" w:cstheme="minorBidi"/>
          <w:b/>
          <w:bCs/>
          <w:sz w:val="30"/>
          <w:szCs w:val="30"/>
        </w:rPr>
        <w:t>202</w:t>
      </w:r>
      <w:r>
        <w:rPr>
          <w:rFonts w:hint="eastAsia" w:asciiTheme="minorHAnsi" w:hAnsiTheme="minorHAnsi" w:eastAsiaTheme="minorEastAsia" w:cstheme="minorBidi"/>
          <w:b/>
          <w:bCs/>
          <w:sz w:val="30"/>
          <w:szCs w:val="30"/>
          <w:lang w:val="en-US" w:eastAsia="zh-CN"/>
        </w:rPr>
        <w:t>6</w:t>
      </w:r>
      <w:r>
        <w:rPr>
          <w:rFonts w:hint="eastAsia" w:asciiTheme="minorHAnsi" w:hAnsiTheme="minorHAnsi" w:eastAsiaTheme="minorEastAsia" w:cstheme="minorBidi"/>
          <w:b/>
          <w:bCs/>
          <w:sz w:val="30"/>
          <w:szCs w:val="30"/>
        </w:rPr>
        <w:t>年硕士研究生入学考试自</w:t>
      </w:r>
      <w:bookmarkStart w:id="0" w:name="_GoBack"/>
      <w:bookmarkEnd w:id="0"/>
      <w:r>
        <w:rPr>
          <w:rFonts w:hint="eastAsia" w:asciiTheme="minorHAnsi" w:hAnsiTheme="minorHAnsi" w:eastAsiaTheme="minorEastAsia" w:cstheme="minorBidi"/>
          <w:b/>
          <w:bCs/>
          <w:sz w:val="30"/>
          <w:szCs w:val="30"/>
        </w:rPr>
        <w:t>命题科目考试大纲及参考书目</w:t>
      </w:r>
    </w:p>
    <w:p w14:paraId="052D05FD">
      <w:pPr>
        <w:jc w:val="left"/>
        <w:rPr>
          <w:rFonts w:ascii="宋体" w:hAnsi="宋体"/>
          <w:sz w:val="24"/>
          <w:szCs w:val="24"/>
        </w:rPr>
      </w:pPr>
    </w:p>
    <w:p w14:paraId="128511F0">
      <w:pPr>
        <w:jc w:val="left"/>
        <w:rPr>
          <w:rFonts w:asciiTheme="minorHAnsi" w:hAnsiTheme="minorHAnsi" w:eastAsiaTheme="minorEastAsia" w:cstheme="minorBidi"/>
          <w:sz w:val="28"/>
          <w:szCs w:val="28"/>
        </w:rPr>
      </w:pPr>
      <w:r>
        <w:rPr>
          <w:rFonts w:hint="eastAsia" w:asciiTheme="minorHAnsi" w:hAnsiTheme="minorHAnsi" w:eastAsiaTheme="minorEastAsia" w:cstheme="minorBidi"/>
          <w:sz w:val="28"/>
          <w:szCs w:val="28"/>
        </w:rPr>
        <w:t>学科、专业名称（代码）及研究方向：</w:t>
      </w:r>
    </w:p>
    <w:p w14:paraId="3F82F7CC">
      <w:pPr>
        <w:jc w:val="left"/>
        <w:rPr>
          <w:rFonts w:asciiTheme="minorHAnsi" w:hAnsiTheme="minorHAnsi" w:eastAsiaTheme="minorEastAsia" w:cstheme="minorBidi"/>
          <w:sz w:val="28"/>
          <w:szCs w:val="28"/>
        </w:rPr>
      </w:pPr>
      <w:r>
        <w:rPr>
          <w:rFonts w:hint="eastAsia" w:asciiTheme="minorHAnsi" w:hAnsiTheme="minorHAnsi" w:eastAsiaTheme="minorEastAsia" w:cstheme="minorBidi"/>
          <w:sz w:val="28"/>
          <w:szCs w:val="28"/>
        </w:rPr>
        <w:t>艺术学（130100）</w:t>
      </w:r>
    </w:p>
    <w:p w14:paraId="1968E40D">
      <w:pPr>
        <w:jc w:val="left"/>
        <w:rPr>
          <w:rFonts w:asciiTheme="minorHAnsi" w:hAnsiTheme="minorHAnsi" w:eastAsiaTheme="minorEastAsia" w:cstheme="minorBidi"/>
          <w:sz w:val="28"/>
          <w:szCs w:val="28"/>
        </w:rPr>
      </w:pPr>
      <w:r>
        <w:rPr>
          <w:rFonts w:hint="eastAsia" w:asciiTheme="minorHAnsi" w:hAnsiTheme="minorHAnsi" w:eastAsiaTheme="minorEastAsia" w:cstheme="minorBidi"/>
          <w:sz w:val="28"/>
          <w:szCs w:val="28"/>
        </w:rPr>
        <w:t>考试科目：艺术史论</w:t>
      </w:r>
    </w:p>
    <w:p w14:paraId="3D89FC15">
      <w:pPr>
        <w:jc w:val="left"/>
        <w:rPr>
          <w:rFonts w:asciiTheme="minorHAnsi" w:hAnsiTheme="minorHAnsi" w:eastAsiaTheme="minorEastAsia" w:cstheme="minorBidi"/>
          <w:sz w:val="28"/>
          <w:szCs w:val="28"/>
        </w:rPr>
      </w:pPr>
      <w:r>
        <w:rPr>
          <w:rFonts w:hint="eastAsia" w:asciiTheme="minorHAnsi" w:hAnsiTheme="minorHAnsi" w:eastAsiaTheme="minorEastAsia" w:cstheme="minorBidi"/>
          <w:sz w:val="28"/>
          <w:szCs w:val="28"/>
        </w:rPr>
        <w:t>考试科目代码：</w:t>
      </w:r>
      <w:r>
        <w:rPr>
          <w:rFonts w:asciiTheme="minorHAnsi" w:hAnsiTheme="minorHAnsi" w:eastAsiaTheme="minorEastAsia" w:cstheme="minorBidi"/>
          <w:sz w:val="28"/>
          <w:szCs w:val="28"/>
        </w:rPr>
        <w:t>660</w:t>
      </w:r>
    </w:p>
    <w:p w14:paraId="59B2F07D">
      <w:pPr>
        <w:jc w:val="left"/>
        <w:rPr>
          <w:rFonts w:asciiTheme="minorHAnsi" w:hAnsiTheme="minorHAnsi" w:eastAsiaTheme="minorEastAsia" w:cstheme="minorBidi"/>
          <w:sz w:val="28"/>
          <w:szCs w:val="28"/>
        </w:rPr>
      </w:pPr>
    </w:p>
    <w:p w14:paraId="05414E12">
      <w:pPr>
        <w:jc w:val="center"/>
        <w:rPr>
          <w:rFonts w:asciiTheme="minorHAnsi" w:hAnsiTheme="minorHAnsi" w:eastAsiaTheme="minorEastAsia" w:cstheme="minorBidi"/>
          <w:b/>
          <w:bCs/>
          <w:sz w:val="28"/>
          <w:szCs w:val="28"/>
        </w:rPr>
      </w:pPr>
      <w:r>
        <w:rPr>
          <w:rFonts w:hint="eastAsia" w:asciiTheme="minorHAnsi" w:hAnsiTheme="minorHAnsi" w:eastAsiaTheme="minorEastAsia" w:cstheme="minorBidi"/>
          <w:b/>
          <w:bCs/>
          <w:sz w:val="28"/>
          <w:szCs w:val="28"/>
        </w:rPr>
        <w:t>第一部分：考试说明</w:t>
      </w:r>
    </w:p>
    <w:p w14:paraId="00E58F53">
      <w:pPr>
        <w:spacing w:line="400" w:lineRule="exact"/>
        <w:rPr>
          <w:rFonts w:asciiTheme="minorHAnsi" w:hAnsiTheme="minorHAnsi" w:eastAsiaTheme="minorEastAsia" w:cstheme="minorBidi"/>
          <w:b/>
          <w:bCs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b/>
          <w:bCs/>
          <w:sz w:val="24"/>
          <w:szCs w:val="24"/>
        </w:rPr>
        <w:t>一、考试的学科范围：</w:t>
      </w:r>
    </w:p>
    <w:p w14:paraId="78A0B6E9">
      <w:pPr>
        <w:spacing w:line="400" w:lineRule="exact"/>
        <w:ind w:firstLine="480" w:firstLineChars="200"/>
        <w:rPr>
          <w:rFonts w:asciiTheme="minorHAnsi" w:hAnsiTheme="minorHAnsi" w:eastAsiaTheme="minorEastAsia" w:cstheme="minorBidi"/>
          <w:b/>
          <w:bCs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艺术史、设计历史与理论、美学与艺术理论、艺术管理与传播</w:t>
      </w:r>
      <w:r>
        <w:br w:type="textWrapping"/>
      </w:r>
      <w:r>
        <w:rPr>
          <w:rFonts w:hint="eastAsia" w:asciiTheme="minorHAnsi" w:hAnsiTheme="minorHAnsi" w:eastAsiaTheme="minorEastAsia" w:cstheme="minorBidi"/>
          <w:b/>
          <w:bCs/>
          <w:sz w:val="24"/>
          <w:szCs w:val="24"/>
        </w:rPr>
        <w:t>二、评价目标：</w:t>
      </w:r>
    </w:p>
    <w:p w14:paraId="1D3697E3">
      <w:pPr>
        <w:spacing w:line="360" w:lineRule="auto"/>
        <w:ind w:firstLine="480" w:firstLineChars="200"/>
        <w:jc w:val="left"/>
        <w:rPr>
          <w:rFonts w:ascii="宋体" w:hAnsi="宋体" w:cs="Times New Roman"/>
          <w:color w:val="000000"/>
          <w:sz w:val="24"/>
          <w:szCs w:val="24"/>
        </w:rPr>
      </w:pPr>
      <w:r>
        <w:rPr>
          <w:rFonts w:hint="eastAsia" w:ascii="宋体" w:hAnsi="宋体" w:cs="Times New Roman"/>
          <w:color w:val="000000"/>
          <w:sz w:val="24"/>
          <w:szCs w:val="24"/>
        </w:rPr>
        <w:t>1.熟悉中外艺术史（美术史）、工艺美术史的基本知识，通晓中外艺术发展各时期、各风格、各流派及其经典作品。</w:t>
      </w:r>
    </w:p>
    <w:p w14:paraId="24EF6EE2">
      <w:pPr>
        <w:spacing w:line="360" w:lineRule="auto"/>
        <w:ind w:firstLine="480" w:firstLineChars="200"/>
        <w:jc w:val="left"/>
        <w:rPr>
          <w:rFonts w:ascii="宋体" w:hAnsi="宋体" w:cs="Times New Roman"/>
          <w:color w:val="000000"/>
          <w:sz w:val="24"/>
          <w:szCs w:val="24"/>
        </w:rPr>
      </w:pPr>
      <w:r>
        <w:rPr>
          <w:rFonts w:hint="eastAsia" w:ascii="宋体" w:hAnsi="宋体" w:cs="Times New Roman"/>
          <w:color w:val="000000"/>
          <w:sz w:val="24"/>
          <w:szCs w:val="24"/>
        </w:rPr>
        <w:t>2.具备较好的古文基础，知晓并能够熟练阅读中国古代艺术与设计经典文献，具备对艺术与设计文献予以解释和阐发的能力。</w:t>
      </w:r>
    </w:p>
    <w:p w14:paraId="0704243B">
      <w:pPr>
        <w:spacing w:line="360" w:lineRule="auto"/>
        <w:ind w:firstLine="480" w:firstLineChars="200"/>
        <w:jc w:val="left"/>
        <w:rPr>
          <w:rFonts w:ascii="宋体" w:hAnsi="宋体" w:cs="Times New Roman"/>
          <w:color w:val="000000"/>
          <w:sz w:val="24"/>
          <w:szCs w:val="24"/>
        </w:rPr>
      </w:pPr>
      <w:r>
        <w:rPr>
          <w:rFonts w:hint="eastAsia" w:ascii="宋体" w:hAnsi="宋体" w:cs="Times New Roman"/>
          <w:color w:val="000000"/>
          <w:sz w:val="24"/>
          <w:szCs w:val="24"/>
        </w:rPr>
        <w:t>3.熟悉艺术史及理论研究的一般理论与方法，了解艺术学研究的最新动态。</w:t>
      </w:r>
    </w:p>
    <w:p w14:paraId="74174869">
      <w:pPr>
        <w:spacing w:line="360" w:lineRule="auto"/>
        <w:ind w:firstLine="480" w:firstLineChars="200"/>
        <w:jc w:val="left"/>
        <w:rPr>
          <w:rFonts w:ascii="宋体" w:hAnsi="宋体" w:cs="Times New Roman"/>
          <w:color w:val="000000"/>
          <w:sz w:val="24"/>
          <w:szCs w:val="24"/>
        </w:rPr>
      </w:pPr>
      <w:r>
        <w:rPr>
          <w:rFonts w:hint="eastAsia" w:ascii="宋体" w:hAnsi="宋体" w:cs="Times New Roman"/>
          <w:color w:val="000000"/>
          <w:sz w:val="24"/>
          <w:szCs w:val="24"/>
        </w:rPr>
        <w:t>4.能够用马克思主义的思想理论与方法，研究艺术史及理论问题。</w:t>
      </w:r>
    </w:p>
    <w:p w14:paraId="718F2A70">
      <w:pPr>
        <w:spacing w:line="400" w:lineRule="exact"/>
        <w:rPr>
          <w:rFonts w:asciiTheme="minorHAnsi" w:hAnsiTheme="minorHAnsi" w:eastAsiaTheme="minorEastAsia" w:cstheme="minorBidi"/>
          <w:b/>
          <w:bCs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b/>
          <w:bCs/>
          <w:sz w:val="24"/>
          <w:szCs w:val="24"/>
        </w:rPr>
        <w:t>三、考试形式与试卷结构：</w:t>
      </w:r>
    </w:p>
    <w:p w14:paraId="402A5C0B">
      <w:pPr>
        <w:spacing w:line="360" w:lineRule="auto"/>
        <w:ind w:firstLine="480" w:firstLineChars="200"/>
        <w:jc w:val="left"/>
        <w:rPr>
          <w:rFonts w:ascii="宋体" w:hAnsi="宋体" w:cs="Times New Roman"/>
          <w:color w:val="000000"/>
          <w:sz w:val="24"/>
          <w:szCs w:val="24"/>
        </w:rPr>
      </w:pPr>
      <w:r>
        <w:rPr>
          <w:rFonts w:hint="eastAsia" w:ascii="宋体" w:hAnsi="宋体" w:cs="Times New Roman"/>
          <w:color w:val="000000"/>
          <w:sz w:val="24"/>
          <w:szCs w:val="24"/>
        </w:rPr>
        <w:t>1.考试形式为闭卷、笔试、所列题目必答。</w:t>
      </w:r>
    </w:p>
    <w:p w14:paraId="51702BD8">
      <w:pPr>
        <w:spacing w:line="360" w:lineRule="auto"/>
        <w:ind w:firstLine="480" w:firstLineChars="200"/>
        <w:jc w:val="left"/>
        <w:rPr>
          <w:rFonts w:asciiTheme="minorHAnsi" w:hAnsiTheme="minorHAnsi" w:eastAsiaTheme="minorEastAsia" w:cstheme="minorBid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Times New Roman"/>
          <w:color w:val="000000"/>
          <w:sz w:val="24"/>
          <w:szCs w:val="24"/>
        </w:rPr>
        <w:t>2.试卷结构有</w:t>
      </w:r>
      <w:r>
        <w:rPr>
          <w:rFonts w:hint="eastAsia" w:asciiTheme="minorHAnsi" w:hAnsiTheme="minorHAnsi" w:eastAsiaTheme="minorEastAsia" w:cstheme="minorBid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选择题、名词解释 、简答题、论述题或材料分析题</w:t>
      </w:r>
      <w:r>
        <w:rPr>
          <w:rFonts w:hint="eastAsia" w:ascii="宋体" w:hAnsi="宋体" w:cs="Times New Roman"/>
          <w:color w:val="000000"/>
          <w:sz w:val="24"/>
          <w:szCs w:val="24"/>
        </w:rPr>
        <w:t>，考试时间3小时，考试总分150分。</w:t>
      </w:r>
      <w:r>
        <w:rPr>
          <w:rFonts w:hint="eastAsia" w:asciiTheme="minorHAnsi" w:hAnsiTheme="minorHAnsi" w:eastAsiaTheme="minorEastAsia" w:cstheme="minorBid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</w:t>
      </w:r>
    </w:p>
    <w:p w14:paraId="7C310EAA">
      <w:pPr>
        <w:spacing w:line="400" w:lineRule="exact"/>
        <w:rPr>
          <w:rFonts w:asciiTheme="minorHAnsi" w:hAnsiTheme="minorHAnsi" w:eastAsiaTheme="minorEastAsia" w:cstheme="minorBidi"/>
          <w:b/>
          <w:bCs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b/>
          <w:bCs/>
          <w:sz w:val="24"/>
          <w:szCs w:val="24"/>
        </w:rPr>
        <w:t>四、参考书目：</w:t>
      </w:r>
    </w:p>
    <w:p w14:paraId="6B0C5AE4">
      <w:pPr>
        <w:spacing w:line="360" w:lineRule="auto"/>
        <w:ind w:firstLine="480" w:firstLineChars="200"/>
        <w:jc w:val="left"/>
        <w:rPr>
          <w:rFonts w:ascii="宋体" w:hAnsi="宋体" w:cs="Times New Roman"/>
          <w:color w:val="000000"/>
          <w:sz w:val="24"/>
          <w:szCs w:val="24"/>
        </w:rPr>
      </w:pPr>
      <w:r>
        <w:rPr>
          <w:rFonts w:hint="eastAsia" w:ascii="宋体" w:hAnsi="宋体" w:cs="Times New Roman"/>
          <w:color w:val="000000"/>
          <w:sz w:val="24"/>
          <w:szCs w:val="24"/>
        </w:rPr>
        <w:t>1.</w:t>
      </w:r>
      <w:r>
        <w:fldChar w:fldCharType="begin"/>
      </w:r>
      <w:r>
        <w:instrText xml:space="preserve"> HYPERLINK "http://search.dangdang.com/?key2=%C6%A4%B5%C0%BC%E1&amp;medium=01&amp;category_path=01.00.00.00.00.00" \t "http://product.dangdang.com/_blank" </w:instrText>
      </w:r>
      <w:r>
        <w:fldChar w:fldCharType="separate"/>
      </w:r>
      <w:r>
        <w:rPr>
          <w:rFonts w:ascii="宋体" w:hAnsi="宋体" w:cs="Times New Roman"/>
          <w:color w:val="000000"/>
          <w:sz w:val="24"/>
          <w:szCs w:val="24"/>
        </w:rPr>
        <w:t>皮道坚</w:t>
      </w:r>
      <w:r>
        <w:rPr>
          <w:rFonts w:ascii="宋体" w:hAnsi="宋体" w:cs="Times New Roman"/>
          <w:color w:val="000000"/>
          <w:sz w:val="24"/>
          <w:szCs w:val="24"/>
        </w:rPr>
        <w:fldChar w:fldCharType="end"/>
      </w:r>
      <w:r>
        <w:rPr>
          <w:rFonts w:ascii="宋体" w:hAnsi="宋体" w:cs="Times New Roman"/>
          <w:color w:val="000000"/>
          <w:sz w:val="24"/>
          <w:szCs w:val="24"/>
        </w:rPr>
        <w:t>、</w:t>
      </w:r>
      <w:r>
        <w:fldChar w:fldCharType="begin"/>
      </w:r>
      <w:r>
        <w:instrText xml:space="preserve"> HYPERLINK "http://search.dangdang.com/?key2=%C9%DB%BA%EA&amp;medium=01&amp;category_path=01.00.00.00.00.00" \t "http://product.dangdang.com/_blank" </w:instrText>
      </w:r>
      <w:r>
        <w:fldChar w:fldCharType="separate"/>
      </w:r>
      <w:r>
        <w:rPr>
          <w:rFonts w:ascii="宋体" w:hAnsi="宋体" w:cs="Times New Roman"/>
          <w:color w:val="000000"/>
          <w:sz w:val="24"/>
          <w:szCs w:val="24"/>
        </w:rPr>
        <w:t>邵宏</w:t>
      </w:r>
      <w:r>
        <w:rPr>
          <w:rFonts w:ascii="宋体" w:hAnsi="宋体" w:cs="Times New Roman"/>
          <w:color w:val="000000"/>
          <w:sz w:val="24"/>
          <w:szCs w:val="24"/>
        </w:rPr>
        <w:fldChar w:fldCharType="end"/>
      </w:r>
      <w:r>
        <w:rPr>
          <w:rFonts w:ascii="宋体" w:hAnsi="宋体" w:cs="Times New Roman"/>
          <w:color w:val="000000"/>
          <w:sz w:val="24"/>
          <w:szCs w:val="24"/>
        </w:rPr>
        <w:t>主编《中外美术简史》（修订版），</w:t>
      </w:r>
      <w:r>
        <w:fldChar w:fldCharType="begin"/>
      </w:r>
      <w:r>
        <w:instrText xml:space="preserve"> HYPERLINK "http://search.dangdang.com/?key3=%B9%E3%CE%F7%CA%A6%B7%B6%B4%F3%D1%A7%B3%F6%B0%E6%C9%E7&amp;medium=01&amp;category_path=01.00.00.00.00.00" \t "http://product.dangdang.com/_blank" </w:instrText>
      </w:r>
      <w:r>
        <w:fldChar w:fldCharType="separate"/>
      </w:r>
      <w:r>
        <w:rPr>
          <w:rFonts w:ascii="宋体" w:hAnsi="宋体" w:cs="Times New Roman"/>
          <w:color w:val="000000"/>
          <w:sz w:val="24"/>
          <w:szCs w:val="24"/>
        </w:rPr>
        <w:t>广西师范大学出版社</w:t>
      </w:r>
      <w:r>
        <w:rPr>
          <w:rFonts w:ascii="宋体" w:hAnsi="宋体" w:cs="Times New Roman"/>
          <w:color w:val="000000"/>
          <w:sz w:val="24"/>
          <w:szCs w:val="24"/>
        </w:rPr>
        <w:fldChar w:fldCharType="end"/>
      </w:r>
      <w:r>
        <w:rPr>
          <w:rFonts w:ascii="宋体" w:hAnsi="宋体" w:cs="Times New Roman"/>
          <w:color w:val="000000"/>
          <w:sz w:val="24"/>
          <w:szCs w:val="24"/>
        </w:rPr>
        <w:t>2018年</w:t>
      </w:r>
      <w:r>
        <w:rPr>
          <w:rFonts w:hint="eastAsia" w:ascii="宋体" w:hAnsi="宋体" w:cs="Times New Roman"/>
          <w:color w:val="000000"/>
          <w:sz w:val="24"/>
          <w:szCs w:val="24"/>
        </w:rPr>
        <w:t>。</w:t>
      </w:r>
      <w:r>
        <w:br w:type="textWrapping"/>
      </w:r>
      <w:r>
        <w:rPr>
          <w:rFonts w:ascii="宋体" w:hAnsi="宋体" w:cs="Times New Roman"/>
          <w:color w:val="000000"/>
          <w:sz w:val="24"/>
          <w:szCs w:val="24"/>
        </w:rPr>
        <w:t xml:space="preserve">    </w:t>
      </w:r>
      <w:r>
        <w:rPr>
          <w:rFonts w:hint="eastAsia" w:ascii="宋体" w:hAnsi="宋体" w:cs="Times New Roman"/>
          <w:color w:val="000000"/>
          <w:sz w:val="24"/>
          <w:szCs w:val="24"/>
        </w:rPr>
        <w:t>2.</w:t>
      </w:r>
      <w:r>
        <w:rPr>
          <w:rFonts w:ascii="宋体" w:hAnsi="宋体" w:cs="Times New Roman"/>
          <w:color w:val="000000"/>
          <w:sz w:val="24"/>
          <w:szCs w:val="24"/>
        </w:rPr>
        <w:t>田自秉《中国工艺美术史》</w:t>
      </w:r>
      <w:r>
        <w:rPr>
          <w:rFonts w:hint="eastAsia" w:ascii="宋体" w:hAnsi="宋体" w:cs="Times New Roman"/>
          <w:color w:val="000000"/>
          <w:sz w:val="24"/>
          <w:szCs w:val="24"/>
          <w:lang w:eastAsia="zh-CN"/>
        </w:rPr>
        <w:t>，</w:t>
      </w:r>
      <w:r>
        <w:rPr>
          <w:rFonts w:ascii="宋体" w:hAnsi="宋体" w:cs="Times New Roman"/>
          <w:color w:val="000000"/>
          <w:sz w:val="24"/>
          <w:szCs w:val="24"/>
        </w:rPr>
        <w:t>2014年</w:t>
      </w:r>
      <w:r>
        <w:rPr>
          <w:rFonts w:hint="eastAsia" w:ascii="宋体" w:hAnsi="宋体" w:cs="Times New Roman"/>
          <w:color w:val="000000"/>
          <w:sz w:val="24"/>
          <w:szCs w:val="24"/>
        </w:rPr>
        <w:t>。</w:t>
      </w:r>
    </w:p>
    <w:p w14:paraId="4667AEDE">
      <w:pPr>
        <w:spacing w:line="360" w:lineRule="auto"/>
        <w:ind w:firstLine="480" w:firstLineChars="200"/>
        <w:jc w:val="left"/>
        <w:rPr>
          <w:rFonts w:ascii="宋体" w:hAnsi="宋体" w:cs="Times New Roman"/>
          <w:color w:val="000000"/>
          <w:sz w:val="24"/>
          <w:szCs w:val="24"/>
        </w:rPr>
      </w:pPr>
      <w:r>
        <w:rPr>
          <w:rFonts w:ascii="宋体" w:hAnsi="宋体" w:cs="Times New Roman"/>
          <w:color w:val="auto"/>
          <w:sz w:val="24"/>
          <w:szCs w:val="24"/>
        </w:rPr>
        <w:t>3.</w:t>
      </w:r>
      <w:r>
        <w:rPr>
          <w:rFonts w:hint="eastAsia" w:ascii="宋体" w:hAnsi="宋体" w:cs="Times New Roman"/>
          <w:color w:val="auto"/>
          <w:sz w:val="24"/>
          <w:szCs w:val="24"/>
        </w:rPr>
        <w:t>喻仲文《先秦艺术思想史》，武汉大学出版社2</w:t>
      </w:r>
      <w:r>
        <w:rPr>
          <w:rFonts w:ascii="宋体" w:hAnsi="宋体" w:cs="Times New Roman"/>
          <w:color w:val="auto"/>
          <w:sz w:val="24"/>
          <w:szCs w:val="24"/>
        </w:rPr>
        <w:t>017</w:t>
      </w:r>
      <w:r>
        <w:rPr>
          <w:rFonts w:hint="eastAsia" w:ascii="宋体" w:hAnsi="宋体" w:cs="Times New Roman"/>
          <w:color w:val="auto"/>
          <w:sz w:val="24"/>
          <w:szCs w:val="24"/>
        </w:rPr>
        <w:t>年</w:t>
      </w:r>
      <w:r>
        <w:rPr>
          <w:rFonts w:hint="eastAsia" w:ascii="宋体" w:hAnsi="宋体" w:cs="Times New Roman"/>
          <w:color w:val="auto"/>
          <w:sz w:val="24"/>
          <w:szCs w:val="24"/>
          <w:lang w:eastAsia="zh-CN"/>
        </w:rPr>
        <w:t>。</w:t>
      </w:r>
      <w:r>
        <w:rPr>
          <w:color w:val="FF0000"/>
        </w:rPr>
        <w:br w:type="textWrapping"/>
      </w:r>
      <w:r>
        <w:rPr>
          <w:rFonts w:ascii="宋体" w:hAnsi="宋体" w:cs="Times New Roman"/>
          <w:color w:val="000000"/>
          <w:sz w:val="24"/>
          <w:szCs w:val="24"/>
        </w:rPr>
        <w:t xml:space="preserve"> </w:t>
      </w:r>
    </w:p>
    <w:p w14:paraId="19E5DA09">
      <w:pPr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sz w:val="28"/>
          <w:szCs w:val="28"/>
        </w:rPr>
      </w:pPr>
    </w:p>
    <w:p w14:paraId="693635B0">
      <w:pPr>
        <w:spacing w:line="360" w:lineRule="auto"/>
        <w:jc w:val="center"/>
        <w:rPr>
          <w:rFonts w:asciiTheme="minorHAnsi" w:hAnsiTheme="minorHAnsi" w:eastAsiaTheme="minorEastAsia" w:cstheme="minorBidi"/>
          <w:b/>
          <w:bCs/>
          <w:sz w:val="28"/>
          <w:szCs w:val="28"/>
        </w:rPr>
      </w:pPr>
      <w:r>
        <w:rPr>
          <w:rFonts w:hint="eastAsia" w:asciiTheme="minorHAnsi" w:hAnsiTheme="minorHAnsi" w:eastAsiaTheme="minorEastAsia" w:cstheme="minorBidi"/>
          <w:b/>
          <w:bCs/>
          <w:sz w:val="28"/>
          <w:szCs w:val="28"/>
        </w:rPr>
        <w:t>第二部分：考试要点</w:t>
      </w:r>
    </w:p>
    <w:p w14:paraId="12793478">
      <w:pPr>
        <w:spacing w:after="156" w:afterLines="50" w:line="360" w:lineRule="auto"/>
        <w:ind w:firstLine="482" w:firstLineChars="200"/>
        <w:jc w:val="left"/>
        <w:rPr>
          <w:rFonts w:asciiTheme="minorHAnsi" w:hAnsiTheme="minorHAnsi" w:eastAsiaTheme="minorEastAsia" w:cstheme="minorBidi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一、</w:t>
      </w:r>
      <w:r>
        <w:rPr>
          <w:rFonts w:hint="eastAsia" w:asciiTheme="minorHAnsi" w:hAnsiTheme="minorHAnsi" w:eastAsiaTheme="minorEastAsia" w:cstheme="minorBidi"/>
          <w:sz w:val="24"/>
          <w:szCs w:val="24"/>
        </w:rPr>
        <w:t>中国艺术史</w:t>
      </w:r>
      <w:r>
        <w:rPr>
          <w:rFonts w:hint="eastAsia" w:asciiTheme="minorHAnsi" w:hAnsiTheme="minorHAnsi" w:eastAsiaTheme="minorEastAsia" w:cstheme="minorBid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（美术史）</w:t>
      </w:r>
      <w:r>
        <w:rPr>
          <w:rFonts w:hint="eastAsia" w:asciiTheme="minorHAnsi" w:hAnsiTheme="minorHAnsi" w:eastAsiaTheme="minorEastAsia" w:cstheme="minorBidi"/>
          <w:sz w:val="24"/>
          <w:szCs w:val="24"/>
        </w:rPr>
        <w:t>、中国工艺美术史</w:t>
      </w:r>
    </w:p>
    <w:p w14:paraId="23FA9AEF">
      <w:pPr>
        <w:spacing w:after="156" w:afterLines="50" w:line="360" w:lineRule="auto"/>
        <w:ind w:firstLine="480" w:firstLineChars="200"/>
        <w:jc w:val="left"/>
        <w:rPr>
          <w:rFonts w:asciiTheme="minorHAnsi" w:hAnsiTheme="minorHAnsi" w:eastAsiaTheme="minorEastAsia" w:cstheme="minorBidi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sz w:val="24"/>
          <w:szCs w:val="24"/>
        </w:rPr>
        <w:t>原始社会的艺术（原始彩陶类型及其艺术特征、原始玉器）；商周青铜器及其艺术特征；春秋战国时期的帛画、漆器、青铜器代表作及其艺术特征；秦始皇兵马俑的艺术特征；汉代画像石、帛画、漆器、青铜器代表作及其艺术特征、汉代陶俑的代表作及其特征、汉代青铜器、画像石、汉代艺术的美学特征；六朝的石窟造像艺术、瓷器艺术、绘画艺术；唐代绘画、建筑、陶器艺术、金银器代表作及其艺术特征；宋元时期的绘画艺术代表性画家及其艺术特征、宋元时期的瓷器、漆器艺术；明代绘画艺术的代表性画家及其流派、明代家具的艺术特征、明代的瓷器艺术、漆器艺术、金属工艺；清代绘画艺术的流派与代表性画家、清代陶瓷艺术、漆器艺术、金属工艺、明清艺术风格的比较；中国古代著名艺术与设计文献、中国古代艺术思想（先秦时期）；近现代著名画家、流派及其代表作、留学生与近现代的艺术教育等等。</w:t>
      </w:r>
    </w:p>
    <w:p w14:paraId="38BBDF41">
      <w:pPr>
        <w:spacing w:after="156" w:afterLines="50" w:line="360" w:lineRule="auto"/>
        <w:ind w:firstLine="482" w:firstLineChars="200"/>
        <w:jc w:val="left"/>
        <w:rPr>
          <w:rFonts w:asciiTheme="minorHAnsi" w:hAnsiTheme="minorHAnsi" w:eastAsiaTheme="minorEastAsia" w:cstheme="minorBidi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</w:t>
      </w:r>
      <w:r>
        <w:rPr>
          <w:rFonts w:hint="eastAsia" w:asciiTheme="minorHAnsi" w:hAnsiTheme="minorHAnsi" w:eastAsiaTheme="minorEastAsia" w:cstheme="minorBidi"/>
          <w:sz w:val="24"/>
          <w:szCs w:val="24"/>
        </w:rPr>
        <w:t>西方艺术史</w:t>
      </w:r>
      <w:r>
        <w:rPr>
          <w:rFonts w:hint="eastAsia" w:asciiTheme="minorHAnsi" w:hAnsiTheme="minorHAnsi" w:eastAsiaTheme="minorEastAsia" w:cstheme="minorBid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（美术史）</w:t>
      </w:r>
    </w:p>
    <w:p w14:paraId="10339B2E">
      <w:pPr>
        <w:spacing w:after="156" w:afterLines="50" w:line="360" w:lineRule="auto"/>
        <w:ind w:firstLine="480" w:firstLineChars="200"/>
        <w:jc w:val="left"/>
        <w:rPr>
          <w:rFonts w:asciiTheme="minorHAnsi" w:hAnsiTheme="minorHAnsi" w:eastAsiaTheme="minorEastAsia" w:cstheme="minorBidi"/>
          <w:sz w:val="24"/>
        </w:rPr>
      </w:pPr>
      <w:r>
        <w:rPr>
          <w:rFonts w:hint="eastAsia" w:asciiTheme="minorHAnsi" w:hAnsiTheme="minorHAnsi" w:eastAsiaTheme="minorEastAsia" w:cstheme="minorBidi"/>
          <w:sz w:val="24"/>
        </w:rPr>
        <w:t>古埃及的艺术成就；古希腊的建筑、雕刻艺术；古罗马的艺术特征、</w:t>
      </w:r>
      <w:r>
        <w:rPr>
          <w:rFonts w:hint="eastAsia" w:asciiTheme="minorHAnsi" w:hAnsiTheme="minorHAnsi" w:eastAsiaTheme="minorEastAsia" w:cstheme="minorBidi"/>
          <w:sz w:val="24"/>
          <w:lang w:eastAsia="zh-CN"/>
        </w:rPr>
        <w:t>拜占庭</w:t>
      </w:r>
      <w:r>
        <w:rPr>
          <w:rFonts w:hint="eastAsia" w:asciiTheme="minorHAnsi" w:hAnsiTheme="minorHAnsi" w:eastAsiaTheme="minorEastAsia" w:cstheme="minorBidi"/>
          <w:sz w:val="24"/>
        </w:rPr>
        <w:t>艺术、哥特式艺术；文艺复兴时期的艺术家及其作品；巴洛克风格及其代表作；洛可可风格及其代表作、新古典主义和浪漫主义及其代表作；现实主义及其代表作。</w:t>
      </w:r>
      <w:r>
        <w:rPr>
          <w:rFonts w:hint="eastAsia" w:asciiTheme="minorHAnsi" w:hAnsiTheme="minorHAnsi" w:eastAsiaTheme="minorEastAsia" w:cstheme="minorBidi"/>
          <w:sz w:val="24"/>
          <w:szCs w:val="24"/>
        </w:rPr>
        <w:t>西方现代艺术的各种流派、著名画家及其代表作等等，如立体派、印象派、野兽派、达达主义、超现实主义、波普艺术等风格流派的代表性人物，经典作品、艺术特征，艺术主张以及各风格流派发展演变的历史逻辑和文化逻辑等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6275F7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777048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777048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color w:val="00000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702"/>
    <w:rsid w:val="00030393"/>
    <w:rsid w:val="000E1623"/>
    <w:rsid w:val="00151EF6"/>
    <w:rsid w:val="00167C15"/>
    <w:rsid w:val="001C0021"/>
    <w:rsid w:val="002823E1"/>
    <w:rsid w:val="0029524B"/>
    <w:rsid w:val="002C3DC4"/>
    <w:rsid w:val="00310A30"/>
    <w:rsid w:val="004854D9"/>
    <w:rsid w:val="004A5601"/>
    <w:rsid w:val="005435CF"/>
    <w:rsid w:val="005E0B12"/>
    <w:rsid w:val="0065082C"/>
    <w:rsid w:val="00655DC5"/>
    <w:rsid w:val="00701D62"/>
    <w:rsid w:val="008E1702"/>
    <w:rsid w:val="00924E70"/>
    <w:rsid w:val="009A7D87"/>
    <w:rsid w:val="00AD148A"/>
    <w:rsid w:val="00CD7487"/>
    <w:rsid w:val="00CE3033"/>
    <w:rsid w:val="00DB24F0"/>
    <w:rsid w:val="00DC210B"/>
    <w:rsid w:val="00E61B26"/>
    <w:rsid w:val="00E70735"/>
    <w:rsid w:val="00ED193C"/>
    <w:rsid w:val="00F307F8"/>
    <w:rsid w:val="00F579C0"/>
    <w:rsid w:val="00F62657"/>
    <w:rsid w:val="06302D2D"/>
    <w:rsid w:val="09047D11"/>
    <w:rsid w:val="0A9A1AFD"/>
    <w:rsid w:val="15700D3A"/>
    <w:rsid w:val="19D230D3"/>
    <w:rsid w:val="20400EB6"/>
    <w:rsid w:val="30091360"/>
    <w:rsid w:val="37C403E5"/>
    <w:rsid w:val="38FB143F"/>
    <w:rsid w:val="3EC475BA"/>
    <w:rsid w:val="41A25B65"/>
    <w:rsid w:val="44C736E0"/>
    <w:rsid w:val="45AB1E68"/>
    <w:rsid w:val="53982502"/>
    <w:rsid w:val="54532ADE"/>
    <w:rsid w:val="5CA31EC7"/>
    <w:rsid w:val="5DC93FF4"/>
    <w:rsid w:val="61EF2759"/>
    <w:rsid w:val="76EC6D39"/>
    <w:rsid w:val="7B5332C6"/>
    <w:rsid w:val="7B617912"/>
    <w:rsid w:val="7F7F4205"/>
    <w:rsid w:val="F4FD644C"/>
  </w:rsids>
  <m:mathPr>
    <m:mathFont m:val="Cambria Math"/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unhideWhenUsed="0" w:uiPriority="99" w:semiHidden="0" w:name="Strong"/>
    <w:lsdException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 w:cs="Times New Roman"/>
      <w:b/>
      <w:kern w:val="44"/>
      <w:sz w:val="48"/>
      <w:szCs w:val="48"/>
    </w:rPr>
  </w:style>
  <w:style w:type="paragraph" w:styleId="3">
    <w:name w:val="heading 2"/>
    <w:basedOn w:val="1"/>
    <w:qFormat/>
    <w:uiPriority w:val="9"/>
    <w:pPr>
      <w:spacing w:beforeAutospacing="1" w:afterAutospacing="1"/>
      <w:jc w:val="left"/>
      <w:outlineLvl w:val="1"/>
    </w:pPr>
    <w:rPr>
      <w:rFonts w:hint="eastAsia" w:ascii="宋体" w:hAnsi="宋体" w:cs="Times New Roman"/>
      <w:b/>
      <w:kern w:val="0"/>
      <w:sz w:val="36"/>
      <w:szCs w:val="36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qFormat/>
    <w:uiPriority w:val="99"/>
    <w:rPr>
      <w:color w:val="0000FF"/>
      <w:u w:val="single"/>
    </w:rPr>
  </w:style>
  <w:style w:type="character" w:customStyle="1" w:styleId="9">
    <w:name w:val="页眉 字符"/>
    <w:basedOn w:val="7"/>
    <w:link w:val="5"/>
    <w:qFormat/>
    <w:uiPriority w:val="99"/>
    <w:rPr>
      <w:rFonts w:ascii="Calibri" w:hAnsi="Calibri" w:eastAsia="宋体" w:cs="宋体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rFonts w:ascii="Calibri" w:hAnsi="Calibri" w:eastAsia="宋体" w:cs="宋体"/>
      <w:kern w:val="2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1054</Words>
  <Characters>1085</Characters>
  <Lines>12</Lines>
  <Paragraphs>3</Paragraphs>
  <TotalTime>5</TotalTime>
  <ScaleCrop>false</ScaleCrop>
  <LinksUpToDate>false</LinksUpToDate>
  <CharactersWithSpaces>1093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2025-07-08T01:43:00Z</dcterms:created>
  <dc:creator>Windows User</dc:creator>
  <cp:lastModifiedBy>浪漫夏日</cp:lastModifiedBy>
  <dcterms:modified xsi:type="dcterms:W3CDTF">2025-11-11T03:52:03Z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2052-12.1.0.22175</vt:lpwstr>
  </property>
  <property fmtid="{D5CDD505-2E9C-101B-9397-08002B2CF9AE}" pid="4" name="ICV">
    <vt:lpwstr>CD0DF1D895524311822F0B0E1552C3EE_13</vt:lpwstr>
  </property>
  <property fmtid="{D5CDD505-2E9C-101B-9397-08002B2CF9AE}" pid="5" name="KSOTemplateDocerSaveRecord">
    <vt:lpwstr>eyJoZGlkIjoiNjY5MTc5MDM5YWIxNDgyNWMyZjk1MTA5ZGM0Y2JlMWQiLCJ1c2VySWQiOiI1NTc3NDg4NjgifQ==</vt:lpwstr>
  </property>
</Properties>
</file>